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40" w:after="160"/>
      </w:pPr>
      <w:r>
        <w:rPr>
          <w:rFonts w:ascii="Calibri" w:hAnsi="Calibri"/>
          <w:b/>
          <w:color w:val="F2672E"/>
          <w:sz w:val="22"/>
        </w:rPr>
        <w:t>KNOW YOUR CODE</w:t>
      </w:r>
    </w:p>
    <w:p>
      <w:pPr>
        <w:spacing w:after="200"/>
      </w:pPr>
      <w:r>
        <w:rPr>
          <w:rFonts w:ascii="Calibri" w:hAnsi="Calibri"/>
          <w:b/>
          <w:color w:val="0B2748"/>
          <w:sz w:val="60"/>
        </w:rPr>
        <w:t>Managing psychosocial</w:t>
        <w:br/>
        <w:t>hazards at work</w:t>
      </w:r>
    </w:p>
    <w:p>
      <w:pPr>
        <w:spacing w:after="360"/>
      </w:pPr>
      <w:r>
        <w:rPr>
          <w:rFonts w:ascii="Calibri" w:hAnsi="Calibri"/>
          <w:b/>
          <w:color w:val="F2672E"/>
          <w:sz w:val="36"/>
        </w:rPr>
        <w:t>NSW PCBU compliance checklist</w:t>
      </w:r>
    </w:p>
    <w:p>
      <w:pPr>
        <w:spacing w:after="480"/>
      </w:pPr>
      <w:r>
        <w:rPr>
          <w:rFonts w:ascii="Calibri" w:hAnsi="Calibri"/>
          <w:b w:val="0"/>
          <w:color w:val="263746"/>
          <w:sz w:val="24"/>
        </w:rPr>
        <w:t>A practical working checklist for the 60-minute Evolve Safety and Wellbeing workshop. It follows the major PCBU requirements and recommended practices in the NSW Managing Psychosocial Hazards at Work Code of Practice.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fill="EEF3F5"/>
          </w:tcPr>
          <w:p>
            <w:pPr>
              <w:jc w:val="center"/>
            </w:pPr>
            <w:r>
              <w:rPr>
                <w:rFonts w:ascii="Calibri" w:hAnsi="Calibri"/>
                <w:b/>
                <w:color w:val="F2672E"/>
                <w:sz w:val="22"/>
              </w:rPr>
              <w:t>YES</w:t>
              <w:br/>
            </w:r>
            <w:r>
              <w:rPr>
                <w:rFonts w:ascii="Calibri" w:hAnsi="Calibri"/>
                <w:b w:val="0"/>
                <w:color w:val="263746"/>
                <w:sz w:val="17"/>
              </w:rPr>
              <w:t>Evidence demonstrates it</w:t>
            </w:r>
          </w:p>
        </w:tc>
        <w:tc>
          <w:tcPr>
            <w:tcW w:type="dxa" w:w="2340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fill="EEF3F5"/>
          </w:tcPr>
          <w:p>
            <w:pPr>
              <w:jc w:val="center"/>
            </w:pPr>
            <w:r>
              <w:rPr>
                <w:rFonts w:ascii="Calibri" w:hAnsi="Calibri"/>
                <w:b/>
                <w:color w:val="F2672E"/>
                <w:sz w:val="22"/>
              </w:rPr>
              <w:t>PARTLY</w:t>
              <w:br/>
            </w:r>
            <w:r>
              <w:rPr>
                <w:rFonts w:ascii="Calibri" w:hAnsi="Calibri"/>
                <w:b w:val="0"/>
                <w:color w:val="263746"/>
                <w:sz w:val="17"/>
              </w:rPr>
              <w:t>Incomplete or inconsistent</w:t>
            </w:r>
          </w:p>
        </w:tc>
        <w:tc>
          <w:tcPr>
            <w:tcW w:type="dxa" w:w="2340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fill="EEF3F5"/>
          </w:tcPr>
          <w:p>
            <w:pPr>
              <w:jc w:val="center"/>
            </w:pPr>
            <w:r>
              <w:rPr>
                <w:rFonts w:ascii="Calibri" w:hAnsi="Calibri"/>
                <w:b/>
                <w:color w:val="F2672E"/>
                <w:sz w:val="22"/>
              </w:rPr>
              <w:t>NO</w:t>
              <w:br/>
            </w:r>
            <w:r>
              <w:rPr>
                <w:rFonts w:ascii="Calibri" w:hAnsi="Calibri"/>
                <w:b w:val="0"/>
                <w:color w:val="263746"/>
                <w:sz w:val="17"/>
              </w:rPr>
              <w:t>No reliable practice</w:t>
            </w:r>
          </w:p>
        </w:tc>
        <w:tc>
          <w:tcPr>
            <w:tcW w:type="dxa" w:w="2340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fill="EEF3F5"/>
          </w:tcPr>
          <w:p>
            <w:pPr>
              <w:jc w:val="center"/>
            </w:pPr>
            <w:r>
              <w:rPr>
                <w:rFonts w:ascii="Calibri" w:hAnsi="Calibri"/>
                <w:b/>
                <w:color w:val="F2672E"/>
                <w:sz w:val="22"/>
              </w:rPr>
              <w:t>N/A</w:t>
              <w:br/>
            </w:r>
            <w:r>
              <w:rPr>
                <w:rFonts w:ascii="Calibri" w:hAnsi="Calibri"/>
                <w:b w:val="0"/>
                <w:color w:val="263746"/>
                <w:sz w:val="17"/>
              </w:rPr>
              <w:t>Record why not applicable</w:t>
            </w:r>
          </w:p>
        </w:tc>
      </w:tr>
    </w:tbl>
    <w:p>
      <w:pPr>
        <w:spacing w:before="440" w:after="160"/>
      </w:pPr>
      <w:r>
        <w:rPr>
          <w:rFonts w:ascii="Calibri" w:hAnsi="Calibri"/>
          <w:b/>
          <w:color w:val="0B2748"/>
          <w:sz w:val="30"/>
        </w:rPr>
        <w:t>How to use it</w:t>
      </w:r>
    </w:p>
    <w:p>
      <w:pPr>
        <w:pStyle w:val="ListBullet"/>
        <w:spacing w:after="80"/>
      </w:pPr>
      <w:r>
        <w:rPr>
          <w:rFonts w:ascii="Calibri" w:hAnsi="Calibri"/>
          <w:b w:val="0"/>
          <w:color w:val="263746"/>
          <w:sz w:val="21"/>
        </w:rPr>
        <w:t>Mark each item Yes, Partly, No or N/A.</w:t>
      </w:r>
    </w:p>
    <w:p>
      <w:pPr>
        <w:pStyle w:val="ListBullet"/>
        <w:spacing w:after="80"/>
      </w:pPr>
      <w:r>
        <w:rPr>
          <w:rFonts w:ascii="Calibri" w:hAnsi="Calibri"/>
          <w:b w:val="0"/>
          <w:color w:val="263746"/>
          <w:sz w:val="21"/>
        </w:rPr>
        <w:t>Record the evidence you relied on—not what the business intends to do.</w:t>
      </w:r>
    </w:p>
    <w:p>
      <w:pPr>
        <w:pStyle w:val="ListBullet"/>
        <w:spacing w:after="80"/>
      </w:pPr>
      <w:r>
        <w:rPr>
          <w:rFonts w:ascii="Calibri" w:hAnsi="Calibri"/>
          <w:b w:val="0"/>
          <w:color w:val="263746"/>
          <w:sz w:val="21"/>
        </w:rPr>
        <w:t>For every Partly or No item, identify an action, owner and due date.</w:t>
      </w:r>
    </w:p>
    <w:p>
      <w:pPr>
        <w:pStyle w:val="ListBullet"/>
        <w:spacing w:after="80"/>
      </w:pPr>
      <w:r>
        <w:rPr>
          <w:rFonts w:ascii="Calibri" w:hAnsi="Calibri"/>
          <w:b w:val="0"/>
          <w:color w:val="263746"/>
          <w:sz w:val="21"/>
        </w:rPr>
        <w:t>Escalate uncontrolled or serious current risks immediately.</w:t>
      </w:r>
    </w:p>
    <w:p>
      <w:pPr>
        <w:pStyle w:val="ListBullet"/>
        <w:spacing w:after="80"/>
      </w:pPr>
      <w:r>
        <w:rPr>
          <w:rFonts w:ascii="Calibri" w:hAnsi="Calibri"/>
          <w:b w:val="0"/>
          <w:color w:val="263746"/>
          <w:sz w:val="21"/>
        </w:rPr>
        <w:t>Do not record personal medical or investigation details in this general checklist.</w:t>
      </w:r>
    </w:p>
    <w:p>
      <w:pPr>
        <w:spacing w:before="240"/>
      </w:pPr>
      <w:r>
        <w:rPr>
          <w:rFonts w:ascii="Calibri" w:hAnsi="Calibri"/>
          <w:b/>
          <w:color w:val="F2672E"/>
          <w:sz w:val="19"/>
        </w:rPr>
        <w:t xml:space="preserve">Important: </w:t>
      </w:r>
      <w:r>
        <w:rPr>
          <w:rFonts w:ascii="Calibri" w:hAnsi="Calibri"/>
          <w:b w:val="0"/>
          <w:color w:val="66727C"/>
          <w:sz w:val="19"/>
        </w:rPr>
        <w:t>This checklist is an educational tool. It is not a compliance certificate, a complete statement of the law or legal advice. Apply the Code, Act and Regulation to your circumstances.</w:t>
      </w:r>
    </w:p>
    <w:p>
      <w:r>
        <w:br w:type="page"/>
      </w:r>
    </w:p>
    <w:p>
      <w:pPr>
        <w:spacing w:after="40"/>
      </w:pPr>
      <w:r>
        <w:rPr>
          <w:rFonts w:ascii="Calibri" w:hAnsi="Calibri"/>
          <w:b/>
          <w:color w:val="F2672E"/>
          <w:sz w:val="18"/>
        </w:rPr>
        <w:t>SECTION 01</w:t>
      </w:r>
    </w:p>
    <w:p>
      <w:pPr>
        <w:pStyle w:val="Heading1"/>
        <w:spacing w:before="0" w:after="60"/>
      </w:pPr>
      <w:r>
        <w:rPr>
          <w:rFonts w:ascii="Calibri" w:hAnsi="Calibri"/>
          <w:b/>
          <w:color w:val="0B2748"/>
          <w:sz w:val="32"/>
        </w:rPr>
        <w:t>1. PCBU primary duty and system foundations</w:t>
      </w:r>
    </w:p>
    <w:p>
      <w:pPr>
        <w:spacing w:after="140"/>
      </w:pPr>
      <w:r>
        <w:rPr>
          <w:rFonts w:ascii="Calibri" w:hAnsi="Calibri"/>
          <w:b w:val="0"/>
          <w:color w:val="66727C"/>
          <w:sz w:val="18"/>
        </w:rPr>
        <w:t>Code chapter 2.1; WHS Act ss 17-19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4740"/>
        <w:gridCol w:w="3420"/>
        <w:gridCol w:w="1200"/>
      </w:tblGrid>
      <w:tr>
        <w:trPr>
          <w:tblHeader w:val="true"/>
        </w:trPr>
        <w:tc>
          <w:tcPr>
            <w:tcW w:type="dxa" w:w="474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CHECKLIST REQUIREMENT / CODE EXPECTATION</w:t>
            </w:r>
          </w:p>
        </w:tc>
        <w:tc>
          <w:tcPr>
            <w:tcW w:type="dxa" w:w="342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EVIDENCE TO LOOK FOR / NOTES</w:t>
            </w:r>
          </w:p>
        </w:tc>
        <w:tc>
          <w:tcPr>
            <w:tcW w:type="dxa" w:w="120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Psychosocial hazards are included in the organisation’s WHS risk management system.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WHS framework, risk procedure, governance responsibilities and risk records expressly cover psychological health.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The business first seeks to eliminate psychosocial risks, then minimises remaining risks so far as is reasonably practicable.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Risk decisions show elimination was considered before lower-order controls; reasons are recorded where relevant.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Controls protect workers from harmful acts by third parties.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Client/customer risk assessments, behaviour plans, staffing, security, escalation and withdrawal arrangements.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Safe systems of work and a safe working environment address psychosocial risks.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Actual work design, staffing, task allocation, rosters, supervision and physical environment match the assessed risk.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Suitable information, training, instruction and supervision support the controls.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Role-specific content, competent delivery, practical application and supervision records.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Worker health and workplace conditions are monitored so controls remain adequate.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Exposure indicators, worker feedback, incidents, claims, absence, turnover and control-effectiveness reviews.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Risks created by procurement, outsourcing, contracting and partner arrangements are managed.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Contract terms, workload expectations, delivery schedules, shared-system risks and coordination records.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</w:tbl>
    <w:p>
      <w:pPr>
        <w:spacing w:before="140" w:after="40"/>
      </w:pPr>
      <w:r>
        <w:rPr>
          <w:rFonts w:ascii="Calibri" w:hAnsi="Calibri"/>
          <w:b/>
          <w:color w:val="F2672E"/>
          <w:sz w:val="19"/>
        </w:rPr>
        <w:t>Priority action / owner / due date:</w:t>
      </w:r>
    </w:p>
    <w:p>
      <w:pPr>
        <w:spacing w:after="0"/>
      </w:pPr>
      <w:r>
        <w:rPr>
          <w:rFonts w:ascii="Calibri" w:hAnsi="Calibri"/>
          <w:b w:val="0"/>
          <w:color w:val="D7DEE2"/>
          <w:sz w:val="18"/>
        </w:rPr>
        <w:t>__________________________________________________________________________________</w:t>
      </w:r>
    </w:p>
    <w:p>
      <w:r>
        <w:br w:type="page"/>
      </w:r>
    </w:p>
    <w:p>
      <w:pPr>
        <w:spacing w:after="40"/>
      </w:pPr>
      <w:r>
        <w:rPr>
          <w:rFonts w:ascii="Calibri" w:hAnsi="Calibri"/>
          <w:b/>
          <w:color w:val="F2672E"/>
          <w:sz w:val="18"/>
        </w:rPr>
        <w:t>SECTION 02</w:t>
      </w:r>
    </w:p>
    <w:p>
      <w:pPr>
        <w:pStyle w:val="Heading1"/>
        <w:spacing w:before="0" w:after="60"/>
      </w:pPr>
      <w:r>
        <w:rPr>
          <w:rFonts w:ascii="Calibri" w:hAnsi="Calibri"/>
          <w:b/>
          <w:color w:val="0B2748"/>
          <w:sz w:val="32"/>
        </w:rPr>
        <w:t>2. Consultation and shared duties</w:t>
      </w:r>
    </w:p>
    <w:p>
      <w:pPr>
        <w:spacing w:after="140"/>
      </w:pPr>
      <w:r>
        <w:rPr>
          <w:rFonts w:ascii="Calibri" w:hAnsi="Calibri"/>
          <w:b w:val="0"/>
          <w:color w:val="66727C"/>
          <w:sz w:val="18"/>
        </w:rPr>
        <w:t>Code chapters 2.1 and 3.1; WHS Act ss 46-49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4740"/>
        <w:gridCol w:w="3420"/>
        <w:gridCol w:w="1200"/>
      </w:tblGrid>
      <w:tr>
        <w:trPr>
          <w:tblHeader w:val="true"/>
        </w:trPr>
        <w:tc>
          <w:tcPr>
            <w:tcW w:type="dxa" w:w="474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CHECKLIST REQUIREMENT / CODE EXPECTATION</w:t>
            </w:r>
          </w:p>
        </w:tc>
        <w:tc>
          <w:tcPr>
            <w:tcW w:type="dxa" w:w="342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EVIDENCE TO LOOK FOR / NOTES</w:t>
            </w:r>
          </w:p>
        </w:tc>
        <w:tc>
          <w:tcPr>
            <w:tcW w:type="dxa" w:w="120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Affected workers and HSRs are consulted at every step of the risk management process.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Consultation occurs during identification, assessment, control selection, implementation and review.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Consultation begins early when workplace changes are proposed.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Workers can influence WHS aspects of rosters, roles, reporting lines, technology, work locations and systems before decisions are final.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Workers receive relevant information and a reasonable opportunity to express views.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Information shared, time allowed, accessible formats and suitable consultation channels.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Worker and HSR views are genuinely considered and outcomes are communicated.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Decision notes show what was raised, how it influenced controls and what was communicated back.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Consultation methods protect privacy and confidentiality where required.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Consultation design, data access rules, de-identification and clear limits on confidentiality.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PCBUs with shared duties consult, cooperate and coordinate.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Responsibilities agreed with contractors, labour hire, suppliers, partners, landlords and other duty holders.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WHS duties are not treated as transferred through a contract.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Contracts support coordination but do not state or operate as if one party has removed another party’s duty.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</w:tbl>
    <w:p>
      <w:pPr>
        <w:spacing w:before="140" w:after="40"/>
      </w:pPr>
      <w:r>
        <w:rPr>
          <w:rFonts w:ascii="Calibri" w:hAnsi="Calibri"/>
          <w:b/>
          <w:color w:val="F2672E"/>
          <w:sz w:val="19"/>
        </w:rPr>
        <w:t>Priority action / owner / due date:</w:t>
      </w:r>
    </w:p>
    <w:p>
      <w:pPr>
        <w:spacing w:after="0"/>
      </w:pPr>
      <w:r>
        <w:rPr>
          <w:rFonts w:ascii="Calibri" w:hAnsi="Calibri"/>
          <w:b w:val="0"/>
          <w:color w:val="D7DEE2"/>
          <w:sz w:val="18"/>
        </w:rPr>
        <w:t>__________________________________________________________________________________</w:t>
      </w:r>
    </w:p>
    <w:p>
      <w:r>
        <w:br w:type="page"/>
      </w:r>
    </w:p>
    <w:p>
      <w:pPr>
        <w:spacing w:after="40"/>
      </w:pPr>
      <w:r>
        <w:rPr>
          <w:rFonts w:ascii="Calibri" w:hAnsi="Calibri"/>
          <w:b/>
          <w:color w:val="F2672E"/>
          <w:sz w:val="18"/>
        </w:rPr>
        <w:t>SECTION 03</w:t>
      </w:r>
    </w:p>
    <w:p>
      <w:pPr>
        <w:pStyle w:val="Heading1"/>
        <w:spacing w:before="0" w:after="60"/>
      </w:pPr>
      <w:r>
        <w:rPr>
          <w:rFonts w:ascii="Calibri" w:hAnsi="Calibri"/>
          <w:b/>
          <w:color w:val="0B2748"/>
          <w:sz w:val="32"/>
        </w:rPr>
        <w:t>3. Officer due diligence</w:t>
      </w:r>
    </w:p>
    <w:p>
      <w:pPr>
        <w:spacing w:after="140"/>
      </w:pPr>
      <w:r>
        <w:rPr>
          <w:rFonts w:ascii="Calibri" w:hAnsi="Calibri"/>
          <w:b w:val="0"/>
          <w:color w:val="66727C"/>
          <w:sz w:val="18"/>
        </w:rPr>
        <w:t>Code chapter 2.2; WHS Act s 27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4740"/>
        <w:gridCol w:w="3420"/>
        <w:gridCol w:w="1200"/>
      </w:tblGrid>
      <w:tr>
        <w:trPr>
          <w:tblHeader w:val="true"/>
        </w:trPr>
        <w:tc>
          <w:tcPr>
            <w:tcW w:type="dxa" w:w="474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CHECKLIST REQUIREMENT / CODE EXPECTATION</w:t>
            </w:r>
          </w:p>
        </w:tc>
        <w:tc>
          <w:tcPr>
            <w:tcW w:type="dxa" w:w="342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EVIDENCE TO LOOK FOR / NOTES</w:t>
            </w:r>
          </w:p>
        </w:tc>
        <w:tc>
          <w:tcPr>
            <w:tcW w:type="dxa" w:w="120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Officers understand the organisation’s operations, psychosocial hazards and risks.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Briefings, site/workgroup knowledge, questions asked and active information gathering.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Officers keep current on psychosocial WHS requirements and industry information.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Relevant updates, regulator material, professional development and internal reporting.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Adequate financial and human resources are allocated.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Budgets, staffing, expertise, manager capacity and authority to implement controls.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The PCBU has effective consultation, cooperation and coordination processes.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Officer verification of worker consultation and shared-duty arrangements.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Officers receive timely information on risk assessments, incidents and controls.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Defined reporting content, escalation thresholds and reporting frequency.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Officers actively verify that processes and controls are implemented and effective.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Site visits, worker conversations, requested evidence, follow-up actions and control testing.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</w:tbl>
    <w:p>
      <w:pPr>
        <w:spacing w:before="140" w:after="40"/>
      </w:pPr>
      <w:r>
        <w:rPr>
          <w:rFonts w:ascii="Calibri" w:hAnsi="Calibri"/>
          <w:b/>
          <w:color w:val="F2672E"/>
          <w:sz w:val="19"/>
        </w:rPr>
        <w:t>Priority action / owner / due date:</w:t>
      </w:r>
    </w:p>
    <w:p>
      <w:pPr>
        <w:spacing w:after="0"/>
      </w:pPr>
      <w:r>
        <w:rPr>
          <w:rFonts w:ascii="Calibri" w:hAnsi="Calibri"/>
          <w:b w:val="0"/>
          <w:color w:val="D7DEE2"/>
          <w:sz w:val="18"/>
        </w:rPr>
        <w:t>__________________________________________________________________________________</w:t>
      </w:r>
    </w:p>
    <w:p>
      <w:r>
        <w:br w:type="page"/>
      </w:r>
    </w:p>
    <w:p>
      <w:pPr>
        <w:spacing w:after="40"/>
      </w:pPr>
      <w:r>
        <w:rPr>
          <w:rFonts w:ascii="Calibri" w:hAnsi="Calibri"/>
          <w:b/>
          <w:color w:val="F2672E"/>
          <w:sz w:val="18"/>
        </w:rPr>
        <w:t>SECTION 04</w:t>
      </w:r>
    </w:p>
    <w:p>
      <w:pPr>
        <w:pStyle w:val="Heading1"/>
        <w:spacing w:before="0" w:after="60"/>
      </w:pPr>
      <w:r>
        <w:rPr>
          <w:rFonts w:ascii="Calibri" w:hAnsi="Calibri"/>
          <w:b/>
          <w:color w:val="0B2748"/>
          <w:sz w:val="32"/>
        </w:rPr>
        <w:t>4. Planning the psychosocial risk process</w:t>
      </w:r>
    </w:p>
    <w:p>
      <w:pPr>
        <w:spacing w:after="140"/>
      </w:pPr>
      <w:r>
        <w:rPr>
          <w:rFonts w:ascii="Calibri" w:hAnsi="Calibri"/>
          <w:b w:val="0"/>
          <w:color w:val="66727C"/>
          <w:sz w:val="18"/>
        </w:rPr>
        <w:t>Code chapter 3.1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4740"/>
        <w:gridCol w:w="3420"/>
        <w:gridCol w:w="1200"/>
      </w:tblGrid>
      <w:tr>
        <w:trPr>
          <w:tblHeader w:val="true"/>
        </w:trPr>
        <w:tc>
          <w:tcPr>
            <w:tcW w:type="dxa" w:w="474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CHECKLIST REQUIREMENT / CODE EXPECTATION</w:t>
            </w:r>
          </w:p>
        </w:tc>
        <w:tc>
          <w:tcPr>
            <w:tcW w:type="dxa" w:w="342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EVIDENCE TO LOOK FOR / NOTES</w:t>
            </w:r>
          </w:p>
        </w:tc>
        <w:tc>
          <w:tcPr>
            <w:tcW w:type="dxa" w:w="120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Goals, scope and identification/assessment methods are defined before work begins.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Documented scope, selected workgroups and methods appropriate to the organisation and risk.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Roles for leaders, managers, workers, HSRs and advisers are allocated.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Named responsibilities, decision authority and escalation arrangements.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Privacy and confidentiality arrangements are defined before consultation.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Collection purpose, access, storage, reporting and escalation of serious risk.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Participants in the process have suitable information, training and competence.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Competency requirements, briefing materials and expert support where needed.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Human, technical and financial resources are available to implement controls.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The process is linked to decision-makers, operational resources and budgets.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Control selection, communication, documentation and review responsibilities are agreed.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Owners, milestones, communication method, records and review arrangements.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</w:tbl>
    <w:p>
      <w:pPr>
        <w:spacing w:before="140" w:after="40"/>
      </w:pPr>
      <w:r>
        <w:rPr>
          <w:rFonts w:ascii="Calibri" w:hAnsi="Calibri"/>
          <w:b/>
          <w:color w:val="F2672E"/>
          <w:sz w:val="19"/>
        </w:rPr>
        <w:t>Priority action / owner / due date:</w:t>
      </w:r>
    </w:p>
    <w:p>
      <w:pPr>
        <w:spacing w:after="0"/>
      </w:pPr>
      <w:r>
        <w:rPr>
          <w:rFonts w:ascii="Calibri" w:hAnsi="Calibri"/>
          <w:b w:val="0"/>
          <w:color w:val="D7DEE2"/>
          <w:sz w:val="18"/>
        </w:rPr>
        <w:t>__________________________________________________________________________________</w:t>
      </w:r>
    </w:p>
    <w:p>
      <w:r>
        <w:br w:type="page"/>
      </w:r>
    </w:p>
    <w:p>
      <w:pPr>
        <w:spacing w:after="40"/>
      </w:pPr>
      <w:r>
        <w:rPr>
          <w:rFonts w:ascii="Calibri" w:hAnsi="Calibri"/>
          <w:b/>
          <w:color w:val="F2672E"/>
          <w:sz w:val="18"/>
        </w:rPr>
        <w:t>SECTION 05</w:t>
      </w:r>
    </w:p>
    <w:p>
      <w:pPr>
        <w:pStyle w:val="Heading1"/>
        <w:spacing w:before="0" w:after="60"/>
      </w:pPr>
      <w:r>
        <w:rPr>
          <w:rFonts w:ascii="Calibri" w:hAnsi="Calibri"/>
          <w:b/>
          <w:color w:val="0B2748"/>
          <w:sz w:val="32"/>
        </w:rPr>
        <w:t>5A. Common psychosocial hazards - demands, control and support</w:t>
      </w:r>
    </w:p>
    <w:p>
      <w:pPr>
        <w:spacing w:after="140"/>
      </w:pPr>
      <w:r>
        <w:rPr>
          <w:rFonts w:ascii="Calibri" w:hAnsi="Calibri"/>
          <w:b w:val="0"/>
          <w:color w:val="66727C"/>
          <w:sz w:val="18"/>
        </w:rPr>
        <w:t>Code chapter 1.1, Table 1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4740"/>
        <w:gridCol w:w="3420"/>
        <w:gridCol w:w="1200"/>
      </w:tblGrid>
      <w:tr>
        <w:trPr>
          <w:tblHeader w:val="true"/>
        </w:trPr>
        <w:tc>
          <w:tcPr>
            <w:tcW w:type="dxa" w:w="474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CHECKLIST REQUIREMENT / CODE EXPECTATION</w:t>
            </w:r>
          </w:p>
        </w:tc>
        <w:tc>
          <w:tcPr>
            <w:tcW w:type="dxa" w:w="342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EVIDENCE TO LOOK FOR / NOTES</w:t>
            </w:r>
          </w:p>
        </w:tc>
        <w:tc>
          <w:tcPr>
            <w:tcW w:type="dxa" w:w="120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0B2748"/>
                <w:sz w:val="16"/>
              </w:rPr>
              <w:t xml:space="preserve">CHECK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Role overload - high workload or job demands.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Time, staffing, resources, deadlines, task switching, cognitive/emotional demand, recovery and safety-critical decisions.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0B2748"/>
                <w:sz w:val="16"/>
              </w:rPr>
              <w:t xml:space="preserve">CHECK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Role underload - sustained low demand or monotonous work.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Repetition, isolation, limited task variety and prolonged monitoring.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0B2748"/>
                <w:sz w:val="16"/>
              </w:rPr>
              <w:t xml:space="preserve">CHECK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Exposure to traumatic events or material.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Direct, witnessed, investigated or secondary exposure; frequency, severity, preparation and recovery.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0B2748"/>
                <w:sz w:val="16"/>
              </w:rPr>
              <w:t xml:space="preserve">CHECK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Role conflict or lack of role clarity.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Competing priorities, uncertainty, conflicting service/safety expectations, unclear standards or reporting lines.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0B2748"/>
                <w:sz w:val="16"/>
              </w:rPr>
              <w:t xml:space="preserve">CHECK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Low job control.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Control over task method, pace, breaks, decisions, speaking up and changes affecting work.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0B2748"/>
                <w:sz w:val="16"/>
              </w:rPr>
              <w:t xml:space="preserve">CHECK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Poor supervisor or manager support.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Access to help, information, equipment, feedback, decisions and escalation.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0B2748"/>
                <w:sz w:val="16"/>
              </w:rPr>
              <w:t xml:space="preserve">CHECK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Poor co-worker support.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Practical help, information sharing, team coverage and support for difficult work.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</w:tbl>
    <w:p>
      <w:pPr>
        <w:spacing w:before="140" w:after="40"/>
      </w:pPr>
      <w:r>
        <w:rPr>
          <w:rFonts w:ascii="Calibri" w:hAnsi="Calibri"/>
          <w:b/>
          <w:color w:val="F2672E"/>
          <w:sz w:val="19"/>
        </w:rPr>
        <w:t>Priority action / owner / due date:</w:t>
      </w:r>
    </w:p>
    <w:p>
      <w:pPr>
        <w:spacing w:after="0"/>
      </w:pPr>
      <w:r>
        <w:rPr>
          <w:rFonts w:ascii="Calibri" w:hAnsi="Calibri"/>
          <w:b w:val="0"/>
          <w:color w:val="D7DEE2"/>
          <w:sz w:val="18"/>
        </w:rPr>
        <w:t>__________________________________________________________________________________</w:t>
      </w:r>
    </w:p>
    <w:p>
      <w:r>
        <w:br w:type="page"/>
      </w:r>
    </w:p>
    <w:p>
      <w:pPr>
        <w:spacing w:after="40"/>
      </w:pPr>
      <w:r>
        <w:rPr>
          <w:rFonts w:ascii="Calibri" w:hAnsi="Calibri"/>
          <w:b/>
          <w:color w:val="F2672E"/>
          <w:sz w:val="18"/>
        </w:rPr>
        <w:t>SECTION 06</w:t>
      </w:r>
    </w:p>
    <w:p>
      <w:pPr>
        <w:pStyle w:val="Heading1"/>
        <w:spacing w:before="0" w:after="60"/>
      </w:pPr>
      <w:r>
        <w:rPr>
          <w:rFonts w:ascii="Calibri" w:hAnsi="Calibri"/>
          <w:b/>
          <w:color w:val="0B2748"/>
          <w:sz w:val="32"/>
        </w:rPr>
        <w:t>5B. Common psychosocial hazards - behaviour, fairness and environment</w:t>
      </w:r>
    </w:p>
    <w:p>
      <w:pPr>
        <w:spacing w:after="140"/>
      </w:pPr>
      <w:r>
        <w:rPr>
          <w:rFonts w:ascii="Calibri" w:hAnsi="Calibri"/>
          <w:b w:val="0"/>
          <w:color w:val="66727C"/>
          <w:sz w:val="18"/>
        </w:rPr>
        <w:t>Code chapter 1.1, Table 1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4740"/>
        <w:gridCol w:w="3420"/>
        <w:gridCol w:w="1200"/>
      </w:tblGrid>
      <w:tr>
        <w:trPr>
          <w:tblHeader w:val="true"/>
        </w:trPr>
        <w:tc>
          <w:tcPr>
            <w:tcW w:type="dxa" w:w="474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CHECKLIST REQUIREMENT / CODE EXPECTATION</w:t>
            </w:r>
          </w:p>
        </w:tc>
        <w:tc>
          <w:tcPr>
            <w:tcW w:type="dxa" w:w="342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EVIDENCE TO LOOK FOR / NOTES</w:t>
            </w:r>
          </w:p>
        </w:tc>
        <w:tc>
          <w:tcPr>
            <w:tcW w:type="dxa" w:w="120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0B2748"/>
                <w:sz w:val="16"/>
              </w:rPr>
              <w:t xml:space="preserve">CHECK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Conflict or poor workplace relationships.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Repeated conflict, unresolved disagreements, incivility and work-system contributors.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0B2748"/>
                <w:sz w:val="16"/>
              </w:rPr>
              <w:t xml:space="preserve">CHECK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Workplace violence and aggression.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Workers, clients, patients, visitors or others; known history, location, staffing, communication and emergency response.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0B2748"/>
                <w:sz w:val="16"/>
              </w:rPr>
              <w:t xml:space="preserve">CHECK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Bullying and harassment.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Repeated or single behaviours as applicable, reporting routes, exposure and underlying work causes.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0B2748"/>
                <w:sz w:val="16"/>
              </w:rPr>
              <w:t xml:space="preserve">CHECK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Sexual harassment.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Worker and third-party exposure, work environment, power imbalances, prevention and response controls.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0B2748"/>
                <w:sz w:val="16"/>
              </w:rPr>
              <w:t xml:space="preserve">CHECK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Inadequate reward and recognition.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Recognition of effort, feedback, fair access to development and career opportunities.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0B2748"/>
                <w:sz w:val="16"/>
              </w:rPr>
              <w:t xml:space="preserve">CHECK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Hazardous physical working environment.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Physical hazards that create stress or concern, including inadequate physical controls or PPE.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0B2748"/>
                <w:sz w:val="16"/>
              </w:rPr>
              <w:t xml:space="preserve">CHECK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Remote or isolated work.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Access to assistance, communication, supervision, emergency response and work in other people’s homes.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0B2748"/>
                <w:sz w:val="16"/>
              </w:rPr>
              <w:t xml:space="preserve">CHECK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Poor procedural justice.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Fair, consistent and timely processes for decisions, work allocation, overtime, performance and complaints.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0B2748"/>
                <w:sz w:val="16"/>
              </w:rPr>
              <w:t xml:space="preserve">CHECK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Poor organisational change consultation.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Early information, WHS impact assessment, worker input, resources, training and transition support.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0B2748"/>
                <w:sz w:val="16"/>
              </w:rPr>
              <w:t xml:space="preserve">CHECK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Other hazards specific to the organisation or work.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Industry, task, worker group or supply-chain hazards not captured above.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</w:tbl>
    <w:p>
      <w:pPr>
        <w:spacing w:before="140" w:after="40"/>
      </w:pPr>
      <w:r>
        <w:rPr>
          <w:rFonts w:ascii="Calibri" w:hAnsi="Calibri"/>
          <w:b/>
          <w:color w:val="F2672E"/>
          <w:sz w:val="19"/>
        </w:rPr>
        <w:t>Priority action / owner / due date:</w:t>
      </w:r>
    </w:p>
    <w:p>
      <w:pPr>
        <w:spacing w:after="0"/>
      </w:pPr>
      <w:r>
        <w:rPr>
          <w:rFonts w:ascii="Calibri" w:hAnsi="Calibri"/>
          <w:b w:val="0"/>
          <w:color w:val="D7DEE2"/>
          <w:sz w:val="18"/>
        </w:rPr>
        <w:t>__________________________________________________________________________________</w:t>
      </w:r>
    </w:p>
    <w:p>
      <w:r>
        <w:br w:type="page"/>
      </w:r>
    </w:p>
    <w:p>
      <w:pPr>
        <w:spacing w:after="40"/>
      </w:pPr>
      <w:r>
        <w:rPr>
          <w:rFonts w:ascii="Calibri" w:hAnsi="Calibri"/>
          <w:b/>
          <w:color w:val="F2672E"/>
          <w:sz w:val="18"/>
        </w:rPr>
        <w:t>SECTION 07</w:t>
      </w:r>
    </w:p>
    <w:p>
      <w:pPr>
        <w:pStyle w:val="Heading1"/>
        <w:spacing w:before="0" w:after="60"/>
      </w:pPr>
      <w:r>
        <w:rPr>
          <w:rFonts w:ascii="Calibri" w:hAnsi="Calibri"/>
          <w:b/>
          <w:color w:val="0B2748"/>
          <w:sz w:val="32"/>
        </w:rPr>
        <w:t>6. Individual factors and worker groups</w:t>
      </w:r>
    </w:p>
    <w:p>
      <w:pPr>
        <w:spacing w:after="140"/>
      </w:pPr>
      <w:r>
        <w:rPr>
          <w:rFonts w:ascii="Calibri" w:hAnsi="Calibri"/>
          <w:b w:val="0"/>
          <w:color w:val="66727C"/>
          <w:sz w:val="18"/>
        </w:rPr>
        <w:t>Code chapter 1.2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4740"/>
        <w:gridCol w:w="3420"/>
        <w:gridCol w:w="1200"/>
      </w:tblGrid>
      <w:tr>
        <w:trPr>
          <w:tblHeader w:val="true"/>
        </w:trPr>
        <w:tc>
          <w:tcPr>
            <w:tcW w:type="dxa" w:w="474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CHECKLIST REQUIREMENT / CODE EXPECTATION</w:t>
            </w:r>
          </w:p>
        </w:tc>
        <w:tc>
          <w:tcPr>
            <w:tcW w:type="dxa" w:w="342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EVIDENCE TO LOOK FOR / NOTES</w:t>
            </w:r>
          </w:p>
        </w:tc>
        <w:tc>
          <w:tcPr>
            <w:tcW w:type="dxa" w:w="120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The process considers younger, older, new, trainee and inexperienced workers.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Task exposure, competence, supervision, authority and support needs.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Language, literacy, numeracy and cultural factors are considered.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Accessible consultation, instructions, training and reporting channels.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Previous work injury, illness or traumatic exposure is considered where relevant and lawful.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Individual controls and adjustments without unnecessary collection or disclosure of health information.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Reasonably foreseeable risks to particular groups are identified.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Workgroup-specific assessment rather than organisation-wide averages alone.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Controls take different worker needs into account.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Suitable controls without lowering behavioural or safety standards.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MUST/OTHER LAW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Reasonable adjustments are considered where legal duties require them.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Medically supported changes and applicable discrimination, privacy and workers’ compensation duties.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</w:tbl>
    <w:p>
      <w:pPr>
        <w:spacing w:before="140" w:after="40"/>
      </w:pPr>
      <w:r>
        <w:rPr>
          <w:rFonts w:ascii="Calibri" w:hAnsi="Calibri"/>
          <w:b/>
          <w:color w:val="F2672E"/>
          <w:sz w:val="19"/>
        </w:rPr>
        <w:t>Priority action / owner / due date:</w:t>
      </w:r>
    </w:p>
    <w:p>
      <w:pPr>
        <w:spacing w:after="0"/>
      </w:pPr>
      <w:r>
        <w:rPr>
          <w:rFonts w:ascii="Calibri" w:hAnsi="Calibri"/>
          <w:b w:val="0"/>
          <w:color w:val="D7DEE2"/>
          <w:sz w:val="18"/>
        </w:rPr>
        <w:t>__________________________________________________________________________________</w:t>
      </w:r>
    </w:p>
    <w:p>
      <w:r>
        <w:br w:type="page"/>
      </w:r>
    </w:p>
    <w:p>
      <w:pPr>
        <w:spacing w:after="40"/>
      </w:pPr>
      <w:r>
        <w:rPr>
          <w:rFonts w:ascii="Calibri" w:hAnsi="Calibri"/>
          <w:b/>
          <w:color w:val="F2672E"/>
          <w:sz w:val="18"/>
        </w:rPr>
        <w:t>SECTION 08</w:t>
      </w:r>
    </w:p>
    <w:p>
      <w:pPr>
        <w:pStyle w:val="Heading1"/>
        <w:spacing w:before="0" w:after="60"/>
      </w:pPr>
      <w:r>
        <w:rPr>
          <w:rFonts w:ascii="Calibri" w:hAnsi="Calibri"/>
          <w:b/>
          <w:color w:val="0B2748"/>
          <w:sz w:val="32"/>
        </w:rPr>
        <w:t>7. Identify underlying sources</w:t>
      </w:r>
    </w:p>
    <w:p>
      <w:pPr>
        <w:spacing w:after="140"/>
      </w:pPr>
      <w:r>
        <w:rPr>
          <w:rFonts w:ascii="Calibri" w:hAnsi="Calibri"/>
          <w:b w:val="0"/>
          <w:color w:val="66727C"/>
          <w:sz w:val="18"/>
        </w:rPr>
        <w:t>Code chapter 3.2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4740"/>
        <w:gridCol w:w="3420"/>
        <w:gridCol w:w="1200"/>
      </w:tblGrid>
      <w:tr>
        <w:trPr>
          <w:tblHeader w:val="true"/>
        </w:trPr>
        <w:tc>
          <w:tcPr>
            <w:tcW w:type="dxa" w:w="474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CHECKLIST REQUIREMENT / CODE EXPECTATION</w:t>
            </w:r>
          </w:p>
        </w:tc>
        <w:tc>
          <w:tcPr>
            <w:tcW w:type="dxa" w:w="342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EVIDENCE TO LOOK FOR / NOTES</w:t>
            </w:r>
          </w:p>
        </w:tc>
        <w:tc>
          <w:tcPr>
            <w:tcW w:type="dxa" w:w="120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Operating environment and economic pressures are considered.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Demand changes, service commitments, funding, market pressure and consequences for work.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Governance, structure, procurement and resourcing decisions are examined.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Decisions made away from the work that affect staffing, time, authority and resources.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Job/task design, workload, rosters, role clarity and supervision are examined.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Work-as-done under normal, peak and unexpected conditions.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Buildings, technology, plant, work environments and locations are examined.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Design, access, communication, environmental conditions and equipment usability.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Supply-chain requirements, schedules, penalties and shared systems are examined.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External drivers that create time pressure, conflicting processes or exposure.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Significant change is examined before and during implementation.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Restructure, downsizing, new technology, relocations and changed work arrangements.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</w:tbl>
    <w:p>
      <w:pPr>
        <w:spacing w:before="140" w:after="40"/>
      </w:pPr>
      <w:r>
        <w:rPr>
          <w:rFonts w:ascii="Calibri" w:hAnsi="Calibri"/>
          <w:b/>
          <w:color w:val="F2672E"/>
          <w:sz w:val="19"/>
        </w:rPr>
        <w:t>Priority action / owner / due date:</w:t>
      </w:r>
    </w:p>
    <w:p>
      <w:pPr>
        <w:spacing w:after="0"/>
      </w:pPr>
      <w:r>
        <w:rPr>
          <w:rFonts w:ascii="Calibri" w:hAnsi="Calibri"/>
          <w:b w:val="0"/>
          <w:color w:val="D7DEE2"/>
          <w:sz w:val="18"/>
        </w:rPr>
        <w:t>__________________________________________________________________________________</w:t>
      </w:r>
    </w:p>
    <w:p>
      <w:r>
        <w:br w:type="page"/>
      </w:r>
    </w:p>
    <w:p>
      <w:pPr>
        <w:spacing w:after="40"/>
      </w:pPr>
      <w:r>
        <w:rPr>
          <w:rFonts w:ascii="Calibri" w:hAnsi="Calibri"/>
          <w:b/>
          <w:color w:val="F2672E"/>
          <w:sz w:val="18"/>
        </w:rPr>
        <w:t>SECTION 09</w:t>
      </w:r>
    </w:p>
    <w:p>
      <w:pPr>
        <w:pStyle w:val="Heading1"/>
        <w:spacing w:before="0" w:after="60"/>
      </w:pPr>
      <w:r>
        <w:rPr>
          <w:rFonts w:ascii="Calibri" w:hAnsi="Calibri"/>
          <w:b/>
          <w:color w:val="0B2748"/>
          <w:sz w:val="32"/>
        </w:rPr>
        <w:t>8. Information used to identify hazards</w:t>
      </w:r>
    </w:p>
    <w:p>
      <w:pPr>
        <w:spacing w:after="140"/>
      </w:pPr>
      <w:r>
        <w:rPr>
          <w:rFonts w:ascii="Calibri" w:hAnsi="Calibri"/>
          <w:b w:val="0"/>
          <w:color w:val="66727C"/>
          <w:sz w:val="18"/>
        </w:rPr>
        <w:t>Code chapter 3.2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4740"/>
        <w:gridCol w:w="3420"/>
        <w:gridCol w:w="1200"/>
      </w:tblGrid>
      <w:tr>
        <w:trPr>
          <w:tblHeader w:val="true"/>
        </w:trPr>
        <w:tc>
          <w:tcPr>
            <w:tcW w:type="dxa" w:w="474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CHECKLIST REQUIREMENT / CODE EXPECTATION</w:t>
            </w:r>
          </w:p>
        </w:tc>
        <w:tc>
          <w:tcPr>
            <w:tcW w:type="dxa" w:w="342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EVIDENCE TO LOOK FOR / NOTES</w:t>
            </w:r>
          </w:p>
        </w:tc>
        <w:tc>
          <w:tcPr>
            <w:tcW w:type="dxa" w:w="120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Affected workers and HSRs are consulted.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Consultation covers how hazards arise, existing controls and practical control options.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Work is observed and discussed under normal, peak and unexpected conditions.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Walk-through/talk-through observations, including emergencies and unusual operations.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Incidents, complaints, grievances, claims, absence, turnover and overtime are reviewed.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Trends by workgroup, role, location, task and time period where appropriate.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Backlogs, errors, delays, quality failures and improvised work methods are reviewed.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Operational data that may indicate pressure or inadequate systems.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Duty statements, schedules, staffing and skills mix are compared with actual work.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Gaps between documented expectations, capacity and work-as-done.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Policies and procedures are compared with realistic workplace practice.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Whether they work under time pressure, peak demand and unexpected conditions.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A combination of consultation, organisational data and work observation is used.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No single survey or data source is treated as conclusive.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</w:tbl>
    <w:p>
      <w:pPr>
        <w:spacing w:before="140" w:after="40"/>
      </w:pPr>
      <w:r>
        <w:rPr>
          <w:rFonts w:ascii="Calibri" w:hAnsi="Calibri"/>
          <w:b/>
          <w:color w:val="F2672E"/>
          <w:sz w:val="19"/>
        </w:rPr>
        <w:t>Priority action / owner / due date:</w:t>
      </w:r>
    </w:p>
    <w:p>
      <w:pPr>
        <w:spacing w:after="0"/>
      </w:pPr>
      <w:r>
        <w:rPr>
          <w:rFonts w:ascii="Calibri" w:hAnsi="Calibri"/>
          <w:b w:val="0"/>
          <w:color w:val="D7DEE2"/>
          <w:sz w:val="18"/>
        </w:rPr>
        <w:t>__________________________________________________________________________________</w:t>
      </w:r>
    </w:p>
    <w:p>
      <w:r>
        <w:br w:type="page"/>
      </w:r>
    </w:p>
    <w:p>
      <w:pPr>
        <w:spacing w:after="40"/>
      </w:pPr>
      <w:r>
        <w:rPr>
          <w:rFonts w:ascii="Calibri" w:hAnsi="Calibri"/>
          <w:b/>
          <w:color w:val="F2672E"/>
          <w:sz w:val="18"/>
        </w:rPr>
        <w:t>SECTION 10</w:t>
      </w:r>
    </w:p>
    <w:p>
      <w:pPr>
        <w:pStyle w:val="Heading1"/>
        <w:spacing w:before="0" w:after="60"/>
      </w:pPr>
      <w:r>
        <w:rPr>
          <w:rFonts w:ascii="Calibri" w:hAnsi="Calibri"/>
          <w:b/>
          <w:color w:val="0B2748"/>
          <w:sz w:val="32"/>
        </w:rPr>
        <w:t>9. Assess and prioritise risk</w:t>
      </w:r>
    </w:p>
    <w:p>
      <w:pPr>
        <w:spacing w:after="140"/>
      </w:pPr>
      <w:r>
        <w:rPr>
          <w:rFonts w:ascii="Calibri" w:hAnsi="Calibri"/>
          <w:b w:val="0"/>
          <w:color w:val="66727C"/>
          <w:sz w:val="18"/>
        </w:rPr>
        <w:t>Code chapter 3.3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4740"/>
        <w:gridCol w:w="3420"/>
        <w:gridCol w:w="1200"/>
      </w:tblGrid>
      <w:tr>
        <w:trPr>
          <w:tblHeader w:val="true"/>
        </w:trPr>
        <w:tc>
          <w:tcPr>
            <w:tcW w:type="dxa" w:w="474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CHECKLIST REQUIREMENT / CODE EXPECTATION</w:t>
            </w:r>
          </w:p>
        </w:tc>
        <w:tc>
          <w:tcPr>
            <w:tcW w:type="dxa" w:w="342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EVIDENCE TO LOOK FOR / NOTES</w:t>
            </w:r>
          </w:p>
        </w:tc>
        <w:tc>
          <w:tcPr>
            <w:tcW w:type="dxa" w:w="120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Usual and reasonably foreseeable unusual conditions are considered.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Peak demand, emergencies, staff shortages, system failures and unfamiliar work.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Affected workers, tasks, activities and locations are described.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Clear scope and workgroup/task-level detail.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Frequency and duration of exposure are considered.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How often and how long exposure occurs, including cumulative exposure.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Severity of possible psychological and physical harm is considered.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Potential injury/illness, incidents, errors and interaction with physical hazards.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Interactions between hazards are considered.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For example, workload combined with low control, poor support or aggression.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Existing control effectiveness, likelihood and consequence are considered.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Evidence controls are present, used and effective.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Serious low-likelihood risks are considered separately from frequent lower-consequence risks.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Catastrophic or serious risks are not averaged down.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Affected workers and HSRs are consulted during assessment.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Assessment conclusions are tested against worker knowledge.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The assessment determines required action and urgency.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Immediate, short-term and planned actions are prioritised.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</w:tbl>
    <w:p>
      <w:pPr>
        <w:spacing w:before="140" w:after="40"/>
      </w:pPr>
      <w:r>
        <w:rPr>
          <w:rFonts w:ascii="Calibri" w:hAnsi="Calibri"/>
          <w:b/>
          <w:color w:val="F2672E"/>
          <w:sz w:val="19"/>
        </w:rPr>
        <w:t>Priority action / owner / due date:</w:t>
      </w:r>
    </w:p>
    <w:p>
      <w:pPr>
        <w:spacing w:after="0"/>
      </w:pPr>
      <w:r>
        <w:rPr>
          <w:rFonts w:ascii="Calibri" w:hAnsi="Calibri"/>
          <w:b w:val="0"/>
          <w:color w:val="D7DEE2"/>
          <w:sz w:val="18"/>
        </w:rPr>
        <w:t>__________________________________________________________________________________</w:t>
      </w:r>
    </w:p>
    <w:p>
      <w:r>
        <w:br w:type="page"/>
      </w:r>
    </w:p>
    <w:p>
      <w:pPr>
        <w:spacing w:after="40"/>
      </w:pPr>
      <w:r>
        <w:rPr>
          <w:rFonts w:ascii="Calibri" w:hAnsi="Calibri"/>
          <w:b/>
          <w:color w:val="F2672E"/>
          <w:sz w:val="18"/>
        </w:rPr>
        <w:t>SECTION 11</w:t>
      </w:r>
    </w:p>
    <w:p>
      <w:pPr>
        <w:pStyle w:val="Heading1"/>
        <w:spacing w:before="0" w:after="60"/>
      </w:pPr>
      <w:r>
        <w:rPr>
          <w:rFonts w:ascii="Calibri" w:hAnsi="Calibri"/>
          <w:b/>
          <w:color w:val="0B2748"/>
          <w:sz w:val="32"/>
        </w:rPr>
        <w:t>10. Select controls under regulations 55C-55D</w:t>
      </w:r>
    </w:p>
    <w:p>
      <w:pPr>
        <w:spacing w:after="140"/>
      </w:pPr>
      <w:r>
        <w:rPr>
          <w:rFonts w:ascii="Calibri" w:hAnsi="Calibri"/>
          <w:b w:val="0"/>
          <w:color w:val="66727C"/>
          <w:sz w:val="18"/>
        </w:rPr>
        <w:t>Code chapter 3.4; WHS Regulation ss 55C-55D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4740"/>
        <w:gridCol w:w="3420"/>
        <w:gridCol w:w="1200"/>
      </w:tblGrid>
      <w:tr>
        <w:trPr>
          <w:tblHeader w:val="true"/>
        </w:trPr>
        <w:tc>
          <w:tcPr>
            <w:tcW w:type="dxa" w:w="474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CHECKLIST REQUIREMENT / CODE EXPECTATION</w:t>
            </w:r>
          </w:p>
        </w:tc>
        <w:tc>
          <w:tcPr>
            <w:tcW w:type="dxa" w:w="342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EVIDENCE TO LOOK FOR / NOTES</w:t>
            </w:r>
          </w:p>
        </w:tc>
        <w:tc>
          <w:tcPr>
            <w:tcW w:type="dxa" w:w="120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Elimination is considered and implemented so far as is reasonably practicable.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Removal of unnecessary work/exposure or redesign that prevents exposure.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If elimination is not reasonably practicable, the hierarchy of controls is applied.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Higher-order controls are considered before reliance on administrative or individual coping measures.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Relevant regulation 55D matters are considered.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Exposure, interaction, work design, organisation, environment, plant, behaviours, information, training and supervision.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Good work design options are considered first.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Tasks, staffing, workload, rosters, resources, roles, systems, decision authority and physical design.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Controls are tailored to the workgroup, task, organisation and emergencies.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Specific rather than generic controls.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Safe systems of work specify how, where and when work is done and who is involved.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Operational arrangements that can be implemented and supervised.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Suitable information, training, instruction and supervision support the controls.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Training is not used as the only control where source-level controls are reasonably practicable.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Residual risk and control quality are checked before authorisation.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Adequate / reasonably practicable / satisfactory / inadequate / uncontrolled rating and further action.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</w:tbl>
    <w:p>
      <w:pPr>
        <w:spacing w:before="140" w:after="40"/>
      </w:pPr>
      <w:r>
        <w:rPr>
          <w:rFonts w:ascii="Calibri" w:hAnsi="Calibri"/>
          <w:b/>
          <w:color w:val="F2672E"/>
          <w:sz w:val="19"/>
        </w:rPr>
        <w:t>Priority action / owner / due date:</w:t>
      </w:r>
    </w:p>
    <w:p>
      <w:pPr>
        <w:spacing w:after="0"/>
      </w:pPr>
      <w:r>
        <w:rPr>
          <w:rFonts w:ascii="Calibri" w:hAnsi="Calibri"/>
          <w:b w:val="0"/>
          <w:color w:val="D7DEE2"/>
          <w:sz w:val="18"/>
        </w:rPr>
        <w:t>__________________________________________________________________________________</w:t>
      </w:r>
    </w:p>
    <w:p>
      <w:r>
        <w:br w:type="page"/>
      </w:r>
    </w:p>
    <w:p>
      <w:pPr>
        <w:spacing w:after="40"/>
      </w:pPr>
      <w:r>
        <w:rPr>
          <w:rFonts w:ascii="Calibri" w:hAnsi="Calibri"/>
          <w:b/>
          <w:color w:val="F2672E"/>
          <w:sz w:val="18"/>
        </w:rPr>
        <w:t>SECTION 12</w:t>
      </w:r>
    </w:p>
    <w:p>
      <w:pPr>
        <w:pStyle w:val="Heading1"/>
        <w:spacing w:before="0" w:after="60"/>
      </w:pPr>
      <w:r>
        <w:rPr>
          <w:rFonts w:ascii="Calibri" w:hAnsi="Calibri"/>
          <w:b/>
          <w:color w:val="0B2748"/>
          <w:sz w:val="32"/>
        </w:rPr>
        <w:t>11. Implement controls</w:t>
      </w:r>
    </w:p>
    <w:p>
      <w:pPr>
        <w:spacing w:after="140"/>
      </w:pPr>
      <w:r>
        <w:rPr>
          <w:rFonts w:ascii="Calibri" w:hAnsi="Calibri"/>
          <w:b w:val="0"/>
          <w:color w:val="66727C"/>
          <w:sz w:val="18"/>
        </w:rPr>
        <w:t>Code chapter 3.4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4740"/>
        <w:gridCol w:w="3420"/>
        <w:gridCol w:w="1200"/>
      </w:tblGrid>
      <w:tr>
        <w:trPr>
          <w:tblHeader w:val="true"/>
        </w:trPr>
        <w:tc>
          <w:tcPr>
            <w:tcW w:type="dxa" w:w="474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CHECKLIST REQUIREMENT / CODE EXPECTATION</w:t>
            </w:r>
          </w:p>
        </w:tc>
        <w:tc>
          <w:tcPr>
            <w:tcW w:type="dxa" w:w="342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EVIDENCE TO LOOK FOR / NOTES</w:t>
            </w:r>
          </w:p>
        </w:tc>
        <w:tc>
          <w:tcPr>
            <w:tcW w:type="dxa" w:w="120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Affected workers and HSRs are consulted early about proposed controls.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Input occurs before final decisions on work changes.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Safe work procedures describe tasks, hazards, controls, roles and responsibilities where needed.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Procedures match actual work and cover foreseeable conditions.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Workers receive suitable information, training, instruction and supervision.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Practical competence and ongoing supervision appropriate to the risk.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Managers and supervisors have authority and resources.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Capacity to adjust work, staffing, deadlines, escalation and controls.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Visitors and other persons receive relevant information and instruction.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Controls for customers, clients, suppliers and contractors.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Implementation has an owner, resources, date and completion evidence.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Action plan and verification that controls operate in practice.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A schedule exists for maintenance, monitoring and review.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Controls do not quietly deteriorate or become bypassed.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</w:tbl>
    <w:p>
      <w:pPr>
        <w:spacing w:before="140" w:after="40"/>
      </w:pPr>
      <w:r>
        <w:rPr>
          <w:rFonts w:ascii="Calibri" w:hAnsi="Calibri"/>
          <w:b/>
          <w:color w:val="F2672E"/>
          <w:sz w:val="19"/>
        </w:rPr>
        <w:t>Priority action / owner / due date:</w:t>
      </w:r>
    </w:p>
    <w:p>
      <w:pPr>
        <w:spacing w:after="0"/>
      </w:pPr>
      <w:r>
        <w:rPr>
          <w:rFonts w:ascii="Calibri" w:hAnsi="Calibri"/>
          <w:b w:val="0"/>
          <w:color w:val="D7DEE2"/>
          <w:sz w:val="18"/>
        </w:rPr>
        <w:t>__________________________________________________________________________________</w:t>
      </w:r>
    </w:p>
    <w:p>
      <w:r>
        <w:br w:type="page"/>
      </w:r>
    </w:p>
    <w:p>
      <w:pPr>
        <w:spacing w:after="40"/>
      </w:pPr>
      <w:r>
        <w:rPr>
          <w:rFonts w:ascii="Calibri" w:hAnsi="Calibri"/>
          <w:b/>
          <w:color w:val="F2672E"/>
          <w:sz w:val="18"/>
        </w:rPr>
        <w:t>SECTION 13</w:t>
      </w:r>
    </w:p>
    <w:p>
      <w:pPr>
        <w:pStyle w:val="Heading1"/>
        <w:spacing w:before="0" w:after="60"/>
      </w:pPr>
      <w:r>
        <w:rPr>
          <w:rFonts w:ascii="Calibri" w:hAnsi="Calibri"/>
          <w:b/>
          <w:color w:val="0B2748"/>
          <w:sz w:val="32"/>
        </w:rPr>
        <w:t>12. Maintain, monitor and review</w:t>
      </w:r>
    </w:p>
    <w:p>
      <w:pPr>
        <w:spacing w:after="140"/>
      </w:pPr>
      <w:r>
        <w:rPr>
          <w:rFonts w:ascii="Calibri" w:hAnsi="Calibri"/>
          <w:b w:val="0"/>
          <w:color w:val="66727C"/>
          <w:sz w:val="18"/>
        </w:rPr>
        <w:t>Code chapter 3.5; WHS Regulation rr 37-38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4740"/>
        <w:gridCol w:w="3420"/>
        <w:gridCol w:w="1200"/>
      </w:tblGrid>
      <w:tr>
        <w:trPr>
          <w:tblHeader w:val="true"/>
        </w:trPr>
        <w:tc>
          <w:tcPr>
            <w:tcW w:type="dxa" w:w="474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CHECKLIST REQUIREMENT / CODE EXPECTATION</w:t>
            </w:r>
          </w:p>
        </w:tc>
        <w:tc>
          <w:tcPr>
            <w:tcW w:type="dxa" w:w="342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EVIDENCE TO LOOK FOR / NOTES</w:t>
            </w:r>
          </w:p>
        </w:tc>
        <w:tc>
          <w:tcPr>
            <w:tcW w:type="dxa" w:w="120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Controls are maintained so they remain effective, fit for purpose and used correctly.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Observation, supervision, maintenance and current worker feedback.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Clear accountability exists for monitoring, maintaining and reviewing controls.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Named owners with authority and reporting expectations.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Controls are reviewed when required.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New hazard/risk, ineffective control, workplace change, incident, HSR request or consultation indicates review.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Affected workers and HSRs are consulted during review.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Workers confirm how controls operate under actual conditions.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Indicators relevant to the hazard and control are monitored.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Backlog, workload, overtime, breaks, aggression, escalation, errors, absence, turnover and feedback as relevant.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Review checks for unintended WHS or organisational risks.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Risk transferred to another worker, team, shift or process.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Inadequate or ineffective controls trigger further action.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Action, owner, date and re-check.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Early-intervention arrangements respond when stress or health problems are reported.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Work-design changes, support and workers’ compensation/return-to-work pathways.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</w:tbl>
    <w:p>
      <w:pPr>
        <w:spacing w:before="140" w:after="40"/>
      </w:pPr>
      <w:r>
        <w:rPr>
          <w:rFonts w:ascii="Calibri" w:hAnsi="Calibri"/>
          <w:b/>
          <w:color w:val="F2672E"/>
          <w:sz w:val="19"/>
        </w:rPr>
        <w:t>Priority action / owner / due date:</w:t>
      </w:r>
    </w:p>
    <w:p>
      <w:pPr>
        <w:spacing w:after="0"/>
      </w:pPr>
      <w:r>
        <w:rPr>
          <w:rFonts w:ascii="Calibri" w:hAnsi="Calibri"/>
          <w:b w:val="0"/>
          <w:color w:val="D7DEE2"/>
          <w:sz w:val="18"/>
        </w:rPr>
        <w:t>__________________________________________________________________________________</w:t>
      </w:r>
    </w:p>
    <w:p>
      <w:r>
        <w:br w:type="page"/>
      </w:r>
    </w:p>
    <w:p>
      <w:pPr>
        <w:spacing w:after="40"/>
      </w:pPr>
      <w:r>
        <w:rPr>
          <w:rFonts w:ascii="Calibri" w:hAnsi="Calibri"/>
          <w:b/>
          <w:color w:val="F2672E"/>
          <w:sz w:val="18"/>
        </w:rPr>
        <w:t>SECTION 14</w:t>
      </w:r>
    </w:p>
    <w:p>
      <w:pPr>
        <w:pStyle w:val="Heading1"/>
        <w:spacing w:before="0" w:after="60"/>
      </w:pPr>
      <w:r>
        <w:rPr>
          <w:rFonts w:ascii="Calibri" w:hAnsi="Calibri"/>
          <w:b/>
          <w:color w:val="0B2748"/>
          <w:sz w:val="32"/>
        </w:rPr>
        <w:t>13. Reports and incidents</w:t>
      </w:r>
    </w:p>
    <w:p>
      <w:pPr>
        <w:spacing w:after="140"/>
      </w:pPr>
      <w:r>
        <w:rPr>
          <w:rFonts w:ascii="Calibri" w:hAnsi="Calibri"/>
          <w:b w:val="0"/>
          <w:color w:val="66727C"/>
          <w:sz w:val="18"/>
        </w:rPr>
        <w:t>Code chapter 4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4740"/>
        <w:gridCol w:w="3420"/>
        <w:gridCol w:w="1200"/>
      </w:tblGrid>
      <w:tr>
        <w:trPr>
          <w:tblHeader w:val="true"/>
        </w:trPr>
        <w:tc>
          <w:tcPr>
            <w:tcW w:type="dxa" w:w="474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CHECKLIST REQUIREMENT / CODE EXPECTATION</w:t>
            </w:r>
          </w:p>
        </w:tc>
        <w:tc>
          <w:tcPr>
            <w:tcW w:type="dxa" w:w="342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EVIDENCE TO LOOK FOR / NOTES</w:t>
            </w:r>
          </w:p>
        </w:tc>
        <w:tc>
          <w:tcPr>
            <w:tcW w:type="dxa" w:w="120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Workers can report psychosocial hazards and incidents through accessible channels.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Supervisor, HSR, incident system, grievance process and alternative routes.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Workers are protected from discriminatory, coercive or misleading conduct for raising WHS matters.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Policies, leadership practice, escalation and response to retaliation concerns.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Responsible people, timeframes and escalation pathways are defined.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Triage, immediate risk response and competent decision-makers.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Affected workers receive process information and appropriate updates.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Likely steps, timing, support and outcome communication.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Privacy and confidentiality are protected.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Need-to-know access and general process updates when specifics cannot be shared.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Fair and adequate support is available.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Practical support, representative/support person and psychological support as appropriate.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Risk is controlled while a report or investigation is being handled.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Interim work, contact, reporting, location, staffing or supervision controls.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Reports feed back into hazard identification and control review.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System-level causes and patterns are addressed, not only the individual report.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</w:tbl>
    <w:p>
      <w:pPr>
        <w:spacing w:before="140" w:after="40"/>
      </w:pPr>
      <w:r>
        <w:rPr>
          <w:rFonts w:ascii="Calibri" w:hAnsi="Calibri"/>
          <w:b/>
          <w:color w:val="F2672E"/>
          <w:sz w:val="19"/>
        </w:rPr>
        <w:t>Priority action / owner / due date:</w:t>
      </w:r>
    </w:p>
    <w:p>
      <w:pPr>
        <w:spacing w:after="0"/>
      </w:pPr>
      <w:r>
        <w:rPr>
          <w:rFonts w:ascii="Calibri" w:hAnsi="Calibri"/>
          <w:b w:val="0"/>
          <w:color w:val="D7DEE2"/>
          <w:sz w:val="18"/>
        </w:rPr>
        <w:t>__________________________________________________________________________________</w:t>
      </w:r>
    </w:p>
    <w:p>
      <w:r>
        <w:br w:type="page"/>
      </w:r>
    </w:p>
    <w:p>
      <w:pPr>
        <w:spacing w:after="40"/>
      </w:pPr>
      <w:r>
        <w:rPr>
          <w:rFonts w:ascii="Calibri" w:hAnsi="Calibri"/>
          <w:b/>
          <w:color w:val="F2672E"/>
          <w:sz w:val="18"/>
        </w:rPr>
        <w:t>SECTION 15</w:t>
      </w:r>
    </w:p>
    <w:p>
      <w:pPr>
        <w:pStyle w:val="Heading1"/>
        <w:spacing w:before="0" w:after="60"/>
      </w:pPr>
      <w:r>
        <w:rPr>
          <w:rFonts w:ascii="Calibri" w:hAnsi="Calibri"/>
          <w:b/>
          <w:color w:val="0B2748"/>
          <w:sz w:val="32"/>
        </w:rPr>
        <w:t>14. Investigate serious psychosocial incidents</w:t>
      </w:r>
    </w:p>
    <w:p>
      <w:pPr>
        <w:spacing w:after="140"/>
      </w:pPr>
      <w:r>
        <w:rPr>
          <w:rFonts w:ascii="Calibri" w:hAnsi="Calibri"/>
          <w:b w:val="0"/>
          <w:color w:val="66727C"/>
          <w:sz w:val="18"/>
        </w:rPr>
        <w:t>Code chapter 4.1; WHS Act ss 35-39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4740"/>
        <w:gridCol w:w="3420"/>
        <w:gridCol w:w="1200"/>
      </w:tblGrid>
      <w:tr>
        <w:trPr>
          <w:tblHeader w:val="true"/>
        </w:trPr>
        <w:tc>
          <w:tcPr>
            <w:tcW w:type="dxa" w:w="474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CHECKLIST REQUIREMENT / CODE EXPECTATION</w:t>
            </w:r>
          </w:p>
        </w:tc>
        <w:tc>
          <w:tcPr>
            <w:tcW w:type="dxa" w:w="342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EVIDENCE TO LOOK FOR / NOTES</w:t>
            </w:r>
          </w:p>
        </w:tc>
        <w:tc>
          <w:tcPr>
            <w:tcW w:type="dxa" w:w="120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Investigation scope is proportionate to risk, potential harm and workers affected.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A clear basis for informal, internal or external investigation.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The process seeks what happened, why and how controls can improve.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Terms of reference cover work-related contributing factors and controls.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The investigator is competent, impartial and appropriately authorised.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Competence, conflicts, access and procedural arrangements.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Affected people receive procedural fairness, support and appropriate updates.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Opportunity to respond, process information and review/appeal rights where applicable.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Underlying work causes are examined—not only individual behaviour.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Workload, control, support, roles, change, systems, training and supervision.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Immediate and interim controls are reviewed throughout the investigation.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Further exposure is eliminated or minimised.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Potential notifiable incidents are assessed and notified immediately when required.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Death or serious physical/psychological injury or illness meeting statutory criteria.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Actions, owners, dates and effectiveness checks are recorded.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Investigation recommendations become verified controls.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</w:tbl>
    <w:p>
      <w:pPr>
        <w:spacing w:before="140" w:after="40"/>
      </w:pPr>
      <w:r>
        <w:rPr>
          <w:rFonts w:ascii="Calibri" w:hAnsi="Calibri"/>
          <w:b/>
          <w:color w:val="F2672E"/>
          <w:sz w:val="19"/>
        </w:rPr>
        <w:t>Priority action / owner / due date:</w:t>
      </w:r>
    </w:p>
    <w:p>
      <w:pPr>
        <w:spacing w:after="0"/>
      </w:pPr>
      <w:r>
        <w:rPr>
          <w:rFonts w:ascii="Calibri" w:hAnsi="Calibri"/>
          <w:b w:val="0"/>
          <w:color w:val="D7DEE2"/>
          <w:sz w:val="18"/>
        </w:rPr>
        <w:t>__________________________________________________________________________________</w:t>
      </w:r>
    </w:p>
    <w:p>
      <w:r>
        <w:br w:type="page"/>
      </w:r>
    </w:p>
    <w:p>
      <w:pPr>
        <w:spacing w:after="40"/>
      </w:pPr>
      <w:r>
        <w:rPr>
          <w:rFonts w:ascii="Calibri" w:hAnsi="Calibri"/>
          <w:b/>
          <w:color w:val="F2672E"/>
          <w:sz w:val="18"/>
        </w:rPr>
        <w:t>SECTION 16</w:t>
      </w:r>
    </w:p>
    <w:p>
      <w:pPr>
        <w:pStyle w:val="Heading1"/>
        <w:spacing w:before="0" w:after="60"/>
      </w:pPr>
      <w:r>
        <w:rPr>
          <w:rFonts w:ascii="Calibri" w:hAnsi="Calibri"/>
          <w:b/>
          <w:color w:val="0B2748"/>
          <w:sz w:val="32"/>
        </w:rPr>
        <w:t>15. Records and demonstration</w:t>
      </w:r>
    </w:p>
    <w:p>
      <w:pPr>
        <w:spacing w:after="140"/>
      </w:pPr>
      <w:r>
        <w:rPr>
          <w:rFonts w:ascii="Calibri" w:hAnsi="Calibri"/>
          <w:b w:val="0"/>
          <w:color w:val="66727C"/>
          <w:sz w:val="18"/>
        </w:rPr>
        <w:t>Code chapter 4.2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4740"/>
        <w:gridCol w:w="3420"/>
        <w:gridCol w:w="1200"/>
      </w:tblGrid>
      <w:tr>
        <w:trPr>
          <w:tblHeader w:val="true"/>
        </w:trPr>
        <w:tc>
          <w:tcPr>
            <w:tcW w:type="dxa" w:w="474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CHECKLIST REQUIREMENT / CODE EXPECTATION</w:t>
            </w:r>
          </w:p>
        </w:tc>
        <w:tc>
          <w:tcPr>
            <w:tcW w:type="dxa" w:w="342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EVIDENCE TO LOOK FOR / NOTES</w:t>
            </w:r>
          </w:p>
        </w:tc>
        <w:tc>
          <w:tcPr>
            <w:tcW w:type="dxa" w:w="120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Records show hazards identified and information considered.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Consultation, data, observation and source analysis.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Consultation records show who was involved, matters raised and outcome.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Enough detail to demonstrate two-way consultation without inappropriate personal information.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Risk decisions and prioritisation are recorded where appropriate.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Exposure, existing controls, consequence, likelihood and urgency.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Selected controls, rationale, owners, resources and dates are recorded.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Connection between hazard source, control and implementation.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Monitoring and review results show whether controls are effective.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Evidence before/after implementation and follow-up actions.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MUST/AS APPLICABLE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Incident and investigation records are maintained and protected.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Required statutory records plus proportionate internal records.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Sensitive information is excluded from general registers or access is restricted.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High-level risk register entries and controlled investigation/health records.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The PCBU can produce or explain evidence if an inspector asks.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Documents and worker/manager accounts consistently describe the system in practice.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</w:tbl>
    <w:p>
      <w:pPr>
        <w:spacing w:before="140" w:after="40"/>
      </w:pPr>
      <w:r>
        <w:rPr>
          <w:rFonts w:ascii="Calibri" w:hAnsi="Calibri"/>
          <w:b/>
          <w:color w:val="F2672E"/>
          <w:sz w:val="19"/>
        </w:rPr>
        <w:t>Priority action / owner / due date:</w:t>
      </w:r>
    </w:p>
    <w:p>
      <w:pPr>
        <w:spacing w:after="0"/>
      </w:pPr>
      <w:r>
        <w:rPr>
          <w:rFonts w:ascii="Calibri" w:hAnsi="Calibri"/>
          <w:b w:val="0"/>
          <w:color w:val="D7DEE2"/>
          <w:sz w:val="18"/>
        </w:rPr>
        <w:t>__________________________________________________________________________________</w:t>
      </w:r>
    </w:p>
    <w:p>
      <w:r>
        <w:br w:type="page"/>
      </w:r>
    </w:p>
    <w:p>
      <w:pPr>
        <w:spacing w:after="40"/>
      </w:pPr>
      <w:r>
        <w:rPr>
          <w:rFonts w:ascii="Calibri" w:hAnsi="Calibri"/>
          <w:b/>
          <w:color w:val="F2672E"/>
          <w:sz w:val="18"/>
        </w:rPr>
        <w:t>SECTION 17</w:t>
      </w:r>
    </w:p>
    <w:p>
      <w:pPr>
        <w:pStyle w:val="Heading1"/>
        <w:spacing w:before="0" w:after="60"/>
      </w:pPr>
      <w:r>
        <w:rPr>
          <w:rFonts w:ascii="Calibri" w:hAnsi="Calibri"/>
          <w:b/>
          <w:color w:val="0B2748"/>
          <w:sz w:val="32"/>
        </w:rPr>
        <w:t>16. Safe return to work</w:t>
      </w:r>
    </w:p>
    <w:p>
      <w:pPr>
        <w:spacing w:after="140"/>
      </w:pPr>
      <w:r>
        <w:rPr>
          <w:rFonts w:ascii="Calibri" w:hAnsi="Calibri"/>
          <w:b w:val="0"/>
          <w:color w:val="66727C"/>
          <w:sz w:val="18"/>
        </w:rPr>
        <w:t>Code chapter 5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4740"/>
        <w:gridCol w:w="3420"/>
        <w:gridCol w:w="1200"/>
      </w:tblGrid>
      <w:tr>
        <w:trPr>
          <w:tblHeader w:val="true"/>
        </w:trPr>
        <w:tc>
          <w:tcPr>
            <w:tcW w:type="dxa" w:w="474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CHECKLIST REQUIREMENT / CODE EXPECTATION</w:t>
            </w:r>
          </w:p>
        </w:tc>
        <w:tc>
          <w:tcPr>
            <w:tcW w:type="dxa" w:w="342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EVIDENCE TO LOOK FOR / NOTES</w:t>
            </w:r>
          </w:p>
        </w:tc>
        <w:tc>
          <w:tcPr>
            <w:tcW w:type="dxa" w:w="1200"/>
            <w:shd w:fill="0B274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MUST/OTHER LAW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NSW workers’ compensation and return-to-work requirements are met.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Current return-to-work program, insurer/RTW coordination and required records.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Medically authorised restrictions or modifications are implemented.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Suitable duties and work arrangements align with medical capacity.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New or changed duties, locations and reporting arrangements are risk managed.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Assessment of psychosocial and physical hazards arising from the return-to-work plan.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Risks to the returning worker and surrounding work group are considered.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Work redistribution, role clarity, team workload, supervision and confidentiality.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MUST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The worker is consulted and privacy is protected.</w:t>
            </w:r>
          </w:p>
        </w:tc>
        <w:tc>
          <w:tcPr>
            <w:tcW w:type="dxa" w:w="3420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Appropriate participation and need-to-know communication.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  <w:tr>
        <w:tc>
          <w:tcPr>
            <w:tcW w:type="dxa" w:w="474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color w:val="F2672E"/>
                <w:sz w:val="16"/>
              </w:rPr>
              <w:t xml:space="preserve">SHOULD  </w:t>
            </w:r>
            <w:r>
              <w:rPr>
                <w:rFonts w:ascii="Calibri" w:hAnsi="Calibri"/>
                <w:b w:val="0"/>
                <w:color w:val="263746"/>
                <w:sz w:val="18"/>
              </w:rPr>
              <w:t>Controls and the return-to-work plan are monitored and adjusted.</w:t>
            </w:r>
          </w:p>
        </w:tc>
        <w:tc>
          <w:tcPr>
            <w:tcW w:type="dxa" w:w="3420"/>
            <w:shd w:fill="FBF9F4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263746"/>
                <w:sz w:val="17"/>
              </w:rPr>
              <w:t>Regular review of sustainability, exposure and emerging risks.</w:t>
            </w:r>
          </w:p>
        </w:tc>
        <w:tc>
          <w:tcPr>
            <w:tcW w:type="dxa" w:w="1200"/>
            <w:shd w:fill="EEF3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0B2748"/>
                <w:sz w:val="18"/>
              </w:rPr>
              <w:t>Y   P</w:t>
              <w:br/>
              <w:t>N   N/A</w:t>
            </w:r>
          </w:p>
        </w:tc>
      </w:tr>
    </w:tbl>
    <w:p>
      <w:pPr>
        <w:spacing w:before="140" w:after="40"/>
      </w:pPr>
      <w:r>
        <w:rPr>
          <w:rFonts w:ascii="Calibri" w:hAnsi="Calibri"/>
          <w:b/>
          <w:color w:val="F2672E"/>
          <w:sz w:val="19"/>
        </w:rPr>
        <w:t>Priority action / owner / due date:</w:t>
      </w:r>
    </w:p>
    <w:p>
      <w:pPr>
        <w:spacing w:after="0"/>
      </w:pPr>
      <w:r>
        <w:rPr>
          <w:rFonts w:ascii="Calibri" w:hAnsi="Calibri"/>
          <w:b w:val="0"/>
          <w:color w:val="D7DEE2"/>
          <w:sz w:val="18"/>
        </w:rPr>
        <w:t>__________________________________________________________________________________</w:t>
      </w:r>
    </w:p>
    <w:p>
      <w:r>
        <w:br w:type="page"/>
      </w:r>
    </w:p>
    <w:p>
      <w:r>
        <w:rPr>
          <w:rFonts w:ascii="Calibri" w:hAnsi="Calibri"/>
          <w:b/>
          <w:color w:val="F2672E"/>
          <w:sz w:val="18"/>
        </w:rPr>
        <w:t>IMMEDIATE ACTION PLAN</w:t>
      </w:r>
    </w:p>
    <w:p>
      <w:r>
        <w:rPr>
          <w:rFonts w:ascii="Calibri" w:hAnsi="Calibri"/>
          <w:b/>
          <w:color w:val="0B2748"/>
          <w:sz w:val="44"/>
        </w:rPr>
        <w:t>Choose the three gaps that matter most</w:t>
      </w:r>
    </w:p>
    <w:p>
      <w:pPr>
        <w:spacing w:after="240"/>
      </w:pPr>
      <w:r>
        <w:t>Prioritise current uncontrolled or serious exposure first. Then select the system gaps that will make the largest practical improvement.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2100"/>
        <w:gridCol w:w="7260"/>
      </w:tblGrid>
      <w:tr>
        <w:tc>
          <w:tcPr>
            <w:tcW w:type="dxa" w:w="2100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fill="0B2748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Priority</w:t>
            </w:r>
          </w:p>
        </w:tc>
        <w:tc>
          <w:tcPr>
            <w:tcW w:type="dxa" w:w="7260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fill="FFFFFF"/>
          </w:tcPr>
          <w:p>
            <w:pPr>
              <w:spacing w:after="40"/>
            </w:pPr>
            <w:r>
              <w:rPr>
                <w:rFonts w:ascii="Calibri" w:hAnsi="Calibri"/>
                <w:b/>
                <w:color w:val="0B2748"/>
                <w:sz w:val="20"/>
              </w:rPr>
              <w:t>1</w:t>
            </w:r>
          </w:p>
        </w:tc>
      </w:tr>
      <w:tr>
        <w:tc>
          <w:tcPr>
            <w:tcW w:type="dxa" w:w="2100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fill="0B2748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Why this matters</w:t>
            </w:r>
          </w:p>
        </w:tc>
        <w:tc>
          <w:tcPr>
            <w:tcW w:type="dxa" w:w="7260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fill="FFFFFF"/>
          </w:tcPr>
          <w:p>
            <w:pPr>
              <w:spacing w:after="160"/>
            </w:pPr>
            <w:r>
              <w:rPr>
                <w:rFonts w:ascii="Calibri" w:hAnsi="Calibri"/>
                <w:b w:val="0"/>
                <w:color w:val="0B2748"/>
                <w:sz w:val="20"/>
              </w:rPr>
              <w:t xml:space="preserve"> </w:t>
            </w:r>
          </w:p>
        </w:tc>
      </w:tr>
      <w:tr>
        <w:tc>
          <w:tcPr>
            <w:tcW w:type="dxa" w:w="2100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fill="0B2748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Action / control</w:t>
            </w:r>
          </w:p>
        </w:tc>
        <w:tc>
          <w:tcPr>
            <w:tcW w:type="dxa" w:w="7260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fill="FFFFFF"/>
          </w:tcPr>
          <w:p>
            <w:pPr>
              <w:spacing w:after="160"/>
            </w:pPr>
            <w:r>
              <w:rPr>
                <w:rFonts w:ascii="Calibri" w:hAnsi="Calibri"/>
                <w:b w:val="0"/>
                <w:color w:val="0B2748"/>
                <w:sz w:val="20"/>
              </w:rPr>
              <w:t xml:space="preserve"> </w:t>
            </w:r>
          </w:p>
        </w:tc>
      </w:tr>
      <w:tr>
        <w:tc>
          <w:tcPr>
            <w:tcW w:type="dxa" w:w="2100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fill="0B2748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Owner and due date</w:t>
            </w:r>
          </w:p>
        </w:tc>
        <w:tc>
          <w:tcPr>
            <w:tcW w:type="dxa" w:w="7260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fill="FFFFFF"/>
          </w:tcPr>
          <w:p>
            <w:pPr>
              <w:spacing w:after="160"/>
            </w:pPr>
            <w:r>
              <w:rPr>
                <w:rFonts w:ascii="Calibri" w:hAnsi="Calibri"/>
                <w:b w:val="0"/>
                <w:color w:val="0B2748"/>
                <w:sz w:val="20"/>
              </w:rPr>
              <w:t xml:space="preserve"> </w:t>
            </w:r>
          </w:p>
        </w:tc>
      </w:tr>
    </w:tbl>
    <w:p>
      <w:pPr>
        <w:spacing w:after="8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2100"/>
        <w:gridCol w:w="7260"/>
      </w:tblGrid>
      <w:tr>
        <w:tc>
          <w:tcPr>
            <w:tcW w:type="dxa" w:w="2100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fill="0B2748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Priority</w:t>
            </w:r>
          </w:p>
        </w:tc>
        <w:tc>
          <w:tcPr>
            <w:tcW w:type="dxa" w:w="7260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fill="FFFFFF"/>
          </w:tcPr>
          <w:p>
            <w:pPr>
              <w:spacing w:after="40"/>
            </w:pPr>
            <w:r>
              <w:rPr>
                <w:rFonts w:ascii="Calibri" w:hAnsi="Calibri"/>
                <w:b/>
                <w:color w:val="0B2748"/>
                <w:sz w:val="20"/>
              </w:rPr>
              <w:t>2</w:t>
            </w:r>
          </w:p>
        </w:tc>
      </w:tr>
      <w:tr>
        <w:tc>
          <w:tcPr>
            <w:tcW w:type="dxa" w:w="2100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fill="0B2748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Why this matters</w:t>
            </w:r>
          </w:p>
        </w:tc>
        <w:tc>
          <w:tcPr>
            <w:tcW w:type="dxa" w:w="7260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fill="FFFFFF"/>
          </w:tcPr>
          <w:p>
            <w:pPr>
              <w:spacing w:after="160"/>
            </w:pPr>
            <w:r>
              <w:rPr>
                <w:rFonts w:ascii="Calibri" w:hAnsi="Calibri"/>
                <w:b w:val="0"/>
                <w:color w:val="0B2748"/>
                <w:sz w:val="20"/>
              </w:rPr>
              <w:t xml:space="preserve"> </w:t>
            </w:r>
          </w:p>
        </w:tc>
      </w:tr>
      <w:tr>
        <w:tc>
          <w:tcPr>
            <w:tcW w:type="dxa" w:w="2100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fill="0B2748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Action / control</w:t>
            </w:r>
          </w:p>
        </w:tc>
        <w:tc>
          <w:tcPr>
            <w:tcW w:type="dxa" w:w="7260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fill="FFFFFF"/>
          </w:tcPr>
          <w:p>
            <w:pPr>
              <w:spacing w:after="160"/>
            </w:pPr>
            <w:r>
              <w:rPr>
                <w:rFonts w:ascii="Calibri" w:hAnsi="Calibri"/>
                <w:b w:val="0"/>
                <w:color w:val="0B2748"/>
                <w:sz w:val="20"/>
              </w:rPr>
              <w:t xml:space="preserve"> </w:t>
            </w:r>
          </w:p>
        </w:tc>
      </w:tr>
      <w:tr>
        <w:tc>
          <w:tcPr>
            <w:tcW w:type="dxa" w:w="2100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fill="0B2748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Owner and due date</w:t>
            </w:r>
          </w:p>
        </w:tc>
        <w:tc>
          <w:tcPr>
            <w:tcW w:type="dxa" w:w="7260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fill="FFFFFF"/>
          </w:tcPr>
          <w:p>
            <w:pPr>
              <w:spacing w:after="160"/>
            </w:pPr>
            <w:r>
              <w:rPr>
                <w:rFonts w:ascii="Calibri" w:hAnsi="Calibri"/>
                <w:b w:val="0"/>
                <w:color w:val="0B2748"/>
                <w:sz w:val="20"/>
              </w:rPr>
              <w:t xml:space="preserve"> </w:t>
            </w:r>
          </w:p>
        </w:tc>
      </w:tr>
    </w:tbl>
    <w:p>
      <w:pPr>
        <w:spacing w:after="8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2100"/>
        <w:gridCol w:w="7260"/>
      </w:tblGrid>
      <w:tr>
        <w:tc>
          <w:tcPr>
            <w:tcW w:type="dxa" w:w="2100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fill="0B2748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Priority</w:t>
            </w:r>
          </w:p>
        </w:tc>
        <w:tc>
          <w:tcPr>
            <w:tcW w:type="dxa" w:w="7260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fill="FFFFFF"/>
          </w:tcPr>
          <w:p>
            <w:pPr>
              <w:spacing w:after="40"/>
            </w:pPr>
            <w:r>
              <w:rPr>
                <w:rFonts w:ascii="Calibri" w:hAnsi="Calibri"/>
                <w:b/>
                <w:color w:val="0B2748"/>
                <w:sz w:val="20"/>
              </w:rPr>
              <w:t>3</w:t>
            </w:r>
          </w:p>
        </w:tc>
      </w:tr>
      <w:tr>
        <w:tc>
          <w:tcPr>
            <w:tcW w:type="dxa" w:w="2100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fill="0B2748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Why this matters</w:t>
            </w:r>
          </w:p>
        </w:tc>
        <w:tc>
          <w:tcPr>
            <w:tcW w:type="dxa" w:w="7260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fill="FFFFFF"/>
          </w:tcPr>
          <w:p>
            <w:pPr>
              <w:spacing w:after="160"/>
            </w:pPr>
            <w:r>
              <w:rPr>
                <w:rFonts w:ascii="Calibri" w:hAnsi="Calibri"/>
                <w:b w:val="0"/>
                <w:color w:val="0B2748"/>
                <w:sz w:val="20"/>
              </w:rPr>
              <w:t xml:space="preserve"> </w:t>
            </w:r>
          </w:p>
        </w:tc>
      </w:tr>
      <w:tr>
        <w:tc>
          <w:tcPr>
            <w:tcW w:type="dxa" w:w="2100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fill="0B2748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Action / control</w:t>
            </w:r>
          </w:p>
        </w:tc>
        <w:tc>
          <w:tcPr>
            <w:tcW w:type="dxa" w:w="7260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fill="FFFFFF"/>
          </w:tcPr>
          <w:p>
            <w:pPr>
              <w:spacing w:after="160"/>
            </w:pPr>
            <w:r>
              <w:rPr>
                <w:rFonts w:ascii="Calibri" w:hAnsi="Calibri"/>
                <w:b w:val="0"/>
                <w:color w:val="0B2748"/>
                <w:sz w:val="20"/>
              </w:rPr>
              <w:t xml:space="preserve"> </w:t>
            </w:r>
          </w:p>
        </w:tc>
      </w:tr>
      <w:tr>
        <w:tc>
          <w:tcPr>
            <w:tcW w:type="dxa" w:w="2100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fill="0B2748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Owner and due date</w:t>
            </w:r>
          </w:p>
        </w:tc>
        <w:tc>
          <w:tcPr>
            <w:tcW w:type="dxa" w:w="7260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fill="FFFFFF"/>
          </w:tcPr>
          <w:p>
            <w:pPr>
              <w:spacing w:after="160"/>
            </w:pPr>
            <w:r>
              <w:rPr>
                <w:rFonts w:ascii="Calibri" w:hAnsi="Calibri"/>
                <w:b w:val="0"/>
                <w:color w:val="0B2748"/>
                <w:sz w:val="20"/>
              </w:rPr>
              <w:t xml:space="preserve"> </w:t>
            </w:r>
          </w:p>
        </w:tc>
      </w:tr>
    </w:tbl>
    <w:p>
      <w:pPr>
        <w:spacing w:after="80"/>
      </w:pPr>
    </w:p>
    <w:p>
      <w:r>
        <w:br w:type="page"/>
      </w:r>
    </w:p>
    <w:p>
      <w:r>
        <w:rPr>
          <w:rFonts w:ascii="Calibri" w:hAnsi="Calibri"/>
          <w:b/>
          <w:color w:val="F2672E"/>
          <w:sz w:val="18"/>
        </w:rPr>
        <w:t>OFFICIAL SOURCES</w:t>
      </w:r>
    </w:p>
    <w:p>
      <w:r>
        <w:rPr>
          <w:rFonts w:ascii="Calibri" w:hAnsi="Calibri"/>
          <w:b/>
          <w:color w:val="0B2748"/>
          <w:sz w:val="44"/>
        </w:rPr>
        <w:t>Use the current law and approved Code</w:t>
      </w:r>
    </w:p>
    <w:p>
      <w:pPr>
        <w:spacing w:before="160" w:after="40"/>
      </w:pPr>
      <w:r>
        <w:rPr>
          <w:rFonts w:ascii="Calibri" w:hAnsi="Calibri"/>
          <w:b/>
          <w:color w:val="0B2748"/>
          <w:sz w:val="22"/>
        </w:rPr>
        <w:t>Managing Psychosocial Hazards at Work Code of Practice</w:t>
      </w:r>
    </w:p>
    <w:p>
      <w:pPr>
        <w:spacing w:after="20"/>
      </w:pPr>
      <w:r>
        <w:rPr>
          <w:rFonts w:ascii="Calibri" w:hAnsi="Calibri"/>
          <w:b w:val="0"/>
          <w:color w:val="263746"/>
          <w:sz w:val="19"/>
        </w:rPr>
        <w:t>Issued May 2021; SafeWork NSW current web version incorporating Regulation 2025 guidance</w:t>
      </w:r>
    </w:p>
    <w:p>
      <w:pPr>
        <w:spacing w:after="60"/>
      </w:pPr>
      <w:r>
        <w:rPr>
          <w:rFonts w:ascii="Calibri" w:hAnsi="Calibri"/>
          <w:b w:val="0"/>
          <w:color w:val="F2672E"/>
          <w:sz w:val="17"/>
        </w:rPr>
        <w:t>https://www.safework.nsw.gov.au/resource-library/codes-of-practice/codes-of-practice/managing-psychosocial-hazards-at-work</w:t>
      </w:r>
    </w:p>
    <w:p>
      <w:pPr>
        <w:spacing w:before="160" w:after="40"/>
      </w:pPr>
      <w:r>
        <w:rPr>
          <w:rFonts w:ascii="Calibri" w:hAnsi="Calibri"/>
          <w:b/>
          <w:color w:val="0B2748"/>
          <w:sz w:val="22"/>
        </w:rPr>
        <w:t>Work Health and Safety Act 2011 (NSW)</w:t>
      </w:r>
    </w:p>
    <w:p>
      <w:pPr>
        <w:spacing w:after="20"/>
      </w:pPr>
      <w:r>
        <w:rPr>
          <w:rFonts w:ascii="Calibri" w:hAnsi="Calibri"/>
          <w:b w:val="0"/>
          <w:color w:val="263746"/>
          <w:sz w:val="19"/>
        </w:rPr>
        <w:t>Current version from 1 July 2026</w:t>
      </w:r>
    </w:p>
    <w:p>
      <w:pPr>
        <w:spacing w:after="60"/>
      </w:pPr>
      <w:r>
        <w:rPr>
          <w:rFonts w:ascii="Calibri" w:hAnsi="Calibri"/>
          <w:b w:val="0"/>
          <w:color w:val="F2672E"/>
          <w:sz w:val="17"/>
        </w:rPr>
        <w:t>https://legislation.nsw.gov.au/view/html/inforce/current/act-2011-010</w:t>
      </w:r>
    </w:p>
    <w:p>
      <w:pPr>
        <w:spacing w:before="160" w:after="40"/>
      </w:pPr>
      <w:r>
        <w:rPr>
          <w:rFonts w:ascii="Calibri" w:hAnsi="Calibri"/>
          <w:b/>
          <w:color w:val="0B2748"/>
          <w:sz w:val="22"/>
        </w:rPr>
        <w:t>Work Health and Safety Regulation 2025 (NSW)</w:t>
      </w:r>
    </w:p>
    <w:p>
      <w:pPr>
        <w:spacing w:after="20"/>
      </w:pPr>
      <w:r>
        <w:rPr>
          <w:rFonts w:ascii="Calibri" w:hAnsi="Calibri"/>
          <w:b w:val="0"/>
          <w:color w:val="263746"/>
          <w:sz w:val="19"/>
        </w:rPr>
        <w:t>Current version from 3 July 2026</w:t>
      </w:r>
    </w:p>
    <w:p>
      <w:pPr>
        <w:spacing w:after="60"/>
      </w:pPr>
      <w:r>
        <w:rPr>
          <w:rFonts w:ascii="Calibri" w:hAnsi="Calibri"/>
          <w:b w:val="0"/>
          <w:color w:val="F2672E"/>
          <w:sz w:val="17"/>
        </w:rPr>
        <w:t>https://legislation.nsw.gov.au/view/html/inforce/current/sl-2025-0440</w:t>
      </w:r>
    </w:p>
    <w:p>
      <w:pPr>
        <w:spacing w:before="160" w:after="40"/>
      </w:pPr>
      <w:r>
        <w:rPr>
          <w:rFonts w:ascii="Calibri" w:hAnsi="Calibri"/>
          <w:b/>
          <w:color w:val="0B2748"/>
          <w:sz w:val="22"/>
        </w:rPr>
        <w:t>SafeWork NSW - Psychosocial hazards</w:t>
      </w:r>
    </w:p>
    <w:p>
      <w:pPr>
        <w:spacing w:after="20"/>
      </w:pPr>
      <w:r>
        <w:rPr>
          <w:rFonts w:ascii="Calibri" w:hAnsi="Calibri"/>
          <w:b w:val="0"/>
          <w:color w:val="263746"/>
          <w:sz w:val="19"/>
        </w:rPr>
        <w:t>Current regulator guidance and tools</w:t>
      </w:r>
    </w:p>
    <w:p>
      <w:pPr>
        <w:spacing w:after="60"/>
      </w:pPr>
      <w:r>
        <w:rPr>
          <w:rFonts w:ascii="Calibri" w:hAnsi="Calibri"/>
          <w:b w:val="0"/>
          <w:color w:val="F2672E"/>
          <w:sz w:val="17"/>
        </w:rPr>
        <w:t>https://www.safework.nsw.gov.au/hazards-a-z/psychosocial-hazards</w:t>
      </w:r>
    </w:p>
    <w:p>
      <w:pPr>
        <w:spacing w:before="160" w:after="40"/>
      </w:pPr>
      <w:r>
        <w:rPr>
          <w:rFonts w:ascii="Calibri" w:hAnsi="Calibri"/>
          <w:b/>
          <w:color w:val="0B2748"/>
          <w:sz w:val="22"/>
        </w:rPr>
        <w:t>SafeWork NSW - Consulting workers about psychosocial hazards and risks</w:t>
      </w:r>
    </w:p>
    <w:p>
      <w:pPr>
        <w:spacing w:after="20"/>
      </w:pPr>
      <w:r>
        <w:rPr>
          <w:rFonts w:ascii="Calibri" w:hAnsi="Calibri"/>
          <w:b w:val="0"/>
          <w:color w:val="263746"/>
          <w:sz w:val="19"/>
        </w:rPr>
        <w:t>Small-business consultation guidance</w:t>
      </w:r>
    </w:p>
    <w:p>
      <w:pPr>
        <w:spacing w:after="60"/>
      </w:pPr>
      <w:r>
        <w:rPr>
          <w:rFonts w:ascii="Calibri" w:hAnsi="Calibri"/>
          <w:b w:val="0"/>
          <w:color w:val="F2672E"/>
          <w:sz w:val="17"/>
        </w:rPr>
        <w:t>https://www.safework.nsw.gov.au/resource-library/psychosocial/consulting-your-workers-about-psychosocial-hazards-and-risks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080" w:bottom="979" w:left="1080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color w:val="66727C"/>
        <w:sz w:val="16"/>
      </w:rPr>
      <w:t xml:space="preserve">NSW psychosocial Code checklist  |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color w:val="66727C"/>
        <w:sz w:val="16"/>
      </w:rPr>
      <w:t>EVOLVE SAFETY &amp; WELLBEING  |  KNOW YOUR CODE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Calibri" w:hAnsi="Calibri"/>
      <w:color w:val="263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B274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F267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Calibri" w:hAnsi="Calibri"/>
      <w:b/>
      <w:bCs/>
      <w:color w:val="0B274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